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27" w:tblpY="48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  <w:lang w:eastAsia="zh-TW"/>
              </w:rPr>
              <w:t>董穎璋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</w:rPr>
              <w:t>現職：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心臟內科副教授級主治醫師</w:t>
            </w:r>
          </w:p>
          <w:p>
            <w:pPr>
              <w:jc w:val="both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學歷：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成功</w:t>
            </w:r>
            <w:r>
              <w:rPr>
                <w:rFonts w:hint="eastAsia" w:ascii="標楷體" w:hAnsi="標楷體" w:eastAsia="標楷體"/>
                <w:szCs w:val="24"/>
              </w:rPr>
              <w:t>大學醫學系</w:t>
            </w:r>
          </w:p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經歷：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林口長庚心臟內一科主治醫師</w:t>
            </w:r>
          </w:p>
        </w:tc>
      </w:tr>
    </w:tbl>
    <w:p/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  <w:lang w:eastAsia="zh-TW"/>
              </w:rPr>
              <w:t>蔡政廷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馬偕紀念醫院心臟內科主任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中國醫藥學院中醫系</w:t>
            </w:r>
          </w:p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馬偕紀念醫院心臟內科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主治醫師</w:t>
            </w:r>
          </w:p>
        </w:tc>
      </w:tr>
    </w:tbl>
    <w:p/>
    <w:tbl>
      <w:tblPr>
        <w:tblStyle w:val="6"/>
        <w:tblpPr w:leftFromText="180" w:rightFromText="180" w:vertAnchor="text" w:horzAnchor="page" w:tblpX="1417" w:tblpY="34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  <w:lang w:eastAsia="zh-TW"/>
              </w:rPr>
              <w:t>蔡依霖</w:t>
            </w:r>
          </w:p>
        </w:tc>
        <w:tc>
          <w:tcPr>
            <w:tcW w:w="64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臺北榮民總醫院心臟血管中心主治醫師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i w:val="0"/>
                <w:caps w:val="0"/>
                <w:color w:val="474747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474747"/>
                <w:spacing w:val="0"/>
                <w:sz w:val="24"/>
                <w:szCs w:val="24"/>
                <w:shd w:val="clear" w:fill="FFFFFF"/>
              </w:rPr>
              <w:t>國立陽明大學醫學系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臺北榮民總醫院心臟內科導管瓣膜介入治療臨床研究員</w:t>
            </w:r>
          </w:p>
        </w:tc>
      </w:tr>
    </w:tbl>
    <w:p/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  <w:t>陳盈憲</w:t>
            </w:r>
          </w:p>
        </w:tc>
        <w:tc>
          <w:tcPr>
            <w:tcW w:w="64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現職：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臺大醫院內科部主治醫師</w:t>
            </w:r>
          </w:p>
          <w:p>
            <w:pPr>
              <w:jc w:val="both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學歷：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台大醫學院臨床研究所博士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經歷：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臺大醫院內科部主治醫師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  <w:t>張其任</w:t>
            </w:r>
          </w:p>
        </w:tc>
        <w:tc>
          <w:tcPr>
            <w:tcW w:w="64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  <w:shd w:val="clear" w:color="auto" w:fill="auto"/>
              </w:rPr>
              <w:t>現職：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  <w:lang w:eastAsia="zh-TW"/>
              </w:rPr>
              <w:t>林口長庚心臟內科系副系主任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  <w:shd w:val="clear" w:color="auto" w:fill="auto"/>
              </w:rPr>
              <w:t>學歷：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  <w:lang w:eastAsia="zh-TW"/>
              </w:rPr>
              <w:t>高雄醫學大學醫學系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4"/>
                <w:szCs w:val="24"/>
                <w:shd w:val="clear" w:color="auto" w:fill="auto"/>
              </w:rPr>
              <w:t>經歷：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</w:rPr>
              <w:t>長庚大學</w:t>
            </w:r>
            <w:r>
              <w:rPr>
                <w:rFonts w:hint="eastAsia" w:ascii="標楷體" w:hAnsi="標楷體" w:eastAsia="標楷體" w:cs="標楷體"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  <w:lang w:eastAsia="zh-TW"/>
              </w:rPr>
              <w:t>醫學系教授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lang w:eastAsia="zh-TW"/>
              </w:rPr>
              <w:t>柯呈諭</w:t>
            </w:r>
          </w:p>
        </w:tc>
        <w:tc>
          <w:tcPr>
            <w:tcW w:w="64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現職：</w:t>
            </w:r>
            <w:r>
              <w:rPr>
                <w:rStyle w:val="4"/>
                <w:rFonts w:hint="eastAsia" w:ascii="標楷體" w:hAnsi="標楷體" w:eastAsia="標楷體" w:cs="標楷體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成大醫院內科部心臟內科主治醫師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學歷：</w:t>
            </w:r>
            <w:r>
              <w:rPr>
                <w:rFonts w:hint="eastAsia" w:ascii="標楷體" w:hAnsi="標楷體" w:eastAsia="標楷體" w:cs="標楷體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國立成功大學醫學系畢業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經歷：</w:t>
            </w:r>
            <w:r>
              <w:rPr>
                <w:rStyle w:val="4"/>
                <w:rFonts w:hint="eastAsia" w:ascii="標楷體" w:hAnsi="標楷體" w:eastAsia="標楷體" w:cs="標楷體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成大醫院內科部心臟內科總醫師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000000"/>
                <w:sz w:val="24"/>
                <w:szCs w:val="24"/>
              </w:rPr>
              <w:t>羅皓允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新光醫院心臟內科主治醫師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中山醫學大學醫學系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台大醫院新竹分院心臟內科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主治醫師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000000"/>
                <w:sz w:val="24"/>
                <w:szCs w:val="24"/>
              </w:rPr>
              <w:t>何明昀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  <w:lang w:eastAsia="zh-TW"/>
              </w:rPr>
              <w:t>林口長庚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醫院心臟內治醫師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長庚大學中醫學系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TW"/>
              </w:rPr>
              <w:t>林口長庚醫院心臟內科研究員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000000"/>
                <w:sz w:val="24"/>
                <w:szCs w:val="24"/>
              </w:rPr>
              <w:t>林彥伯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台中榮民總醫院心臟血管中心心臟內科主治醫師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color="auto" w:fill="auto"/>
                <w:lang w:eastAsia="zh-TW"/>
              </w:rPr>
              <w:t>高雄醫學大學醫學系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台中榮民總醫院心臟血管中心心臟內科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TW"/>
              </w:rPr>
              <w:t>總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醫師</w:t>
            </w:r>
          </w:p>
        </w:tc>
      </w:tr>
    </w:tbl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000000"/>
                <w:sz w:val="24"/>
                <w:szCs w:val="24"/>
              </w:rPr>
              <w:t>孟士瑋</w:t>
            </w:r>
          </w:p>
        </w:tc>
        <w:tc>
          <w:tcPr>
            <w:tcW w:w="6458" w:type="dxa"/>
          </w:tcPr>
          <w:p>
            <w:pPr>
              <w:pStyle w:val="7"/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  <w:t>現職︰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  <w:t>台大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  <w:t>醫院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  <w:t>心臟內科主治醫師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  <w:t>學歷：國立臺灣大學醫學院醫學系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  <w:t>台大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  <w:t>新竹分院</w:t>
            </w:r>
            <w:r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  <w:t>心臟內科主治醫師</w:t>
            </w:r>
          </w:p>
        </w:tc>
      </w:tr>
    </w:tbl>
    <w:p/>
    <w:tbl>
      <w:tblPr>
        <w:tblStyle w:val="6"/>
        <w:tblpPr w:leftFromText="180" w:rightFromText="180" w:vertAnchor="text" w:horzAnchor="page" w:tblpX="1608" w:tblpY="347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Times New Roman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Times New Roman"/>
                <w:sz w:val="24"/>
                <w:szCs w:val="24"/>
                <w:lang w:eastAsia="zh-TW"/>
              </w:rPr>
              <w:t>謝慕揚</w:t>
            </w:r>
          </w:p>
        </w:tc>
        <w:tc>
          <w:tcPr>
            <w:tcW w:w="6458" w:type="dxa"/>
          </w:tcPr>
          <w:p>
            <w:pPr>
              <w:pStyle w:val="7"/>
              <w:jc w:val="both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/>
                <w:sz w:val="24"/>
                <w:szCs w:val="24"/>
              </w:rPr>
              <w:t>新竹台大分院心臟</w:t>
            </w:r>
            <w:r>
              <w:rPr>
                <w:rFonts w:hint="eastAsia" w:ascii="標楷體" w:hAnsi="標楷體" w:eastAsia="標楷體"/>
                <w:sz w:val="24"/>
                <w:szCs w:val="24"/>
                <w:lang w:eastAsia="zh-TW"/>
              </w:rPr>
              <w:t>血管中心主任</w:t>
            </w:r>
          </w:p>
          <w:p>
            <w:pPr>
              <w:jc w:val="both"/>
              <w:rPr>
                <w:rFonts w:ascii="標楷體" w:hAnsi="標楷體" w:eastAsia="標楷體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sz w:val="24"/>
                <w:szCs w:val="24"/>
              </w:rPr>
              <w:t>學</w:t>
            </w:r>
            <w:r>
              <w:rPr>
                <w:rFonts w:ascii="標楷體" w:hAnsi="標楷體" w:eastAsia="標楷體"/>
                <w:sz w:val="24"/>
                <w:szCs w:val="24"/>
              </w:rPr>
              <w:t>歷：</w:t>
            </w:r>
            <w:r>
              <w:rPr>
                <w:rFonts w:hint="eastAsia" w:ascii="標楷體" w:hAnsi="標楷體" w:eastAsia="標楷體" w:cs="Times New Roman"/>
                <w:color w:val="000000"/>
                <w:kern w:val="0"/>
                <w:sz w:val="24"/>
                <w:szCs w:val="24"/>
              </w:rPr>
              <w:t>國立陽明交通大學</w:t>
            </w:r>
            <w:r>
              <w:rPr>
                <w:rFonts w:hint="eastAsia" w:ascii="標楷體" w:hAnsi="標楷體" w:eastAsia="標楷體" w:cs="Times New Roman"/>
                <w:color w:val="000000"/>
                <w:kern w:val="0"/>
                <w:sz w:val="24"/>
                <w:szCs w:val="24"/>
                <w:lang w:eastAsia="zh-TW"/>
              </w:rPr>
              <w:t>生物科技學系 博士</w:t>
            </w:r>
          </w:p>
          <w:p>
            <w:pPr>
              <w:pStyle w:val="7"/>
              <w:jc w:val="both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/>
                <w:sz w:val="24"/>
                <w:szCs w:val="24"/>
              </w:rPr>
              <w:t>新竹台大分院心臟內科主治醫師</w:t>
            </w:r>
          </w:p>
        </w:tc>
      </w:tr>
    </w:tbl>
    <w:p/>
    <w:p/>
    <w:tbl>
      <w:tblPr>
        <w:tblStyle w:val="6"/>
        <w:tblpPr w:leftFromText="180" w:rightFromText="180" w:vertAnchor="text" w:horzAnchor="page" w:tblpX="1486" w:tblpY="12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000000"/>
                <w:sz w:val="24"/>
                <w:szCs w:val="24"/>
                <w:lang w:eastAsia="zh-TW"/>
              </w:rPr>
              <w:t>李文領</w:t>
            </w:r>
          </w:p>
        </w:tc>
        <w:tc>
          <w:tcPr>
            <w:tcW w:w="6458" w:type="dxa"/>
          </w:tcPr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現職：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臺中榮民總醫院 心臟血管中心主任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學歷：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國立陽明大學 臨床醫學研究所博士</w:t>
            </w:r>
          </w:p>
          <w:p>
            <w:pPr>
              <w:jc w:val="both"/>
              <w:rPr>
                <w:rFonts w:hint="eastAsia" w:ascii="標楷體" w:hAnsi="標楷體" w:eastAsia="標楷體" w:cs="標楷體"/>
                <w:b w:val="0"/>
                <w:bCs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color w:val="auto"/>
                <w:sz w:val="24"/>
                <w:szCs w:val="24"/>
              </w:rPr>
              <w:t>經歷：</w:t>
            </w:r>
            <w:r>
              <w:rPr>
                <w:rFonts w:hint="eastAsia" w:ascii="標楷體" w:hAnsi="標楷體" w:eastAsia="標楷體" w:cs="標楷體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台中榮民總醫院心臟內科主治醫師</w:t>
            </w:r>
          </w:p>
        </w:tc>
      </w:tr>
    </w:tbl>
    <w:p/>
    <w:p/>
    <w:p>
      <w:pPr>
        <w:rPr>
          <w:rFonts w:hint="eastAsia" w:ascii="微軟正黑體" w:hAnsi="微軟正黑體" w:eastAsia="微軟正黑體" w:cs="微軟正黑體"/>
          <w:b/>
          <w:bCs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36"/>
          <w:szCs w:val="36"/>
          <w:lang w:eastAsia="zh-TW"/>
        </w:rPr>
        <w:t>摘要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Large Thrombus Burden: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To stent or to defer?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For STEMI patients with a high thrombus burden (HTB), </w:t>
      </w:r>
      <w:r>
        <w:rPr>
          <w:rStyle w:val="4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deferred stenting (after 1–7 days)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is a recognized strategy to mitigate risks of slow-flow/no-reflow, distal embolization, and stent thrombosis, often allowing for partial thrombus resolution. While routine deferral is not recommended, this approach is beneficial for carefully selected, high-risk cases.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The Nightmare of No-reflow: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Prevention, Recognition and Rescue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The no-reflow (NR) phenomenon is a critical complication in cardiovascular medicine, occurring when tissue perfusion is not restored despite successful reopening of an epicardial coronary artery during percutaneous coronary intervention (PCI)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. It affects 3–4% of all PCIs, but up to 30–40% of STEMI patients, leading to significantly higher risks of death and heart failure.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When Angiography Lies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: Finding the Culprit with IVUS/OCT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While coronary angiography is the standard for visualizing heart arteries, it only provides a 2D silhouette of the lumen, often missing critical details of the vessel wall where disease starts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. In cases of acute coronary syndrome (ACS)—particularly non-ST-elevation MI—angiography fails to identify the true culprit lesion in up to 14% of cases, or fails to differentiate between multiple potential culprits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Mechanical Support in Shock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: When to Start, What to Choose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Mechanical Circulatory Support (MCS) in cardiogenic shock (CS) is a rapidly evolving field focusing on early, team-based intervention to restore end-organ perfusion, with 2026 insights emphasizing that no single device fits all patients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. The key to improved survival is using standardized protocols to initiate support early, ideally before percutaneous coronary intervention (PCI) and before irreversible multi-organ failure occurs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Post-CABG ACS: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SVG or Native artery?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Based on the 2025/2026 </w:t>
      </w:r>
      <w:r>
        <w:rPr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instrText xml:space="preserve"> HYPERLINK "https://www.acc.org/latest-in-cardiology/articles/2025/10/24/16/56/tues-2pm-proctor-tct-2025" \t "_blank" </w:instrText>
      </w:r>
      <w:r>
        <w:rPr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PROCTOR trial</w:t>
      </w:r>
      <w:r>
        <w:rPr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data, PCI of the Saphenous Vein Graft (SVG) is associated with better 1-year clinical outcomes (19% MACE) compared to native vessel PCI (34% MACE) in patients with prior CABG. This strategy, which results in fewer PCI-related MIs and target vessel revascularizations, is often preferred over native intervention when feasible for SVG failure. [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"https://www.sciencedirect.com/science/article/abs/pii/S073510972509477X"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"https://www.acc.org/latest-in-cardiology/articles/2025/10/24/16/56/tues-2pm-proctor-tct-2025"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"https://www.crf.org/crf/news-and-events/news/news/3986-bypass-graft-pci-leads-to-better-one-year-clinical-outcomes-compared-with-native-vessel-pci-in-post-cabg-patients"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"https://www.pcronline.com/News/Congress-coverages/TCT/2025/PROCTOR-native-vessel-vs.-SVG-PCI-in-patients-with-prior-CABG"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color w:val="auto"/>
          <w:sz w:val="24"/>
          <w:szCs w:val="24"/>
        </w:rPr>
        <w:t>4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]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Complex Culprit Lesions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: Calcification and Bifurcation Under Pressure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Complex culprit lesions, particularly those involving </w:t>
      </w:r>
      <w:r>
        <w:rPr>
          <w:rStyle w:val="4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calcification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and </w:t>
      </w:r>
      <w:r>
        <w:rPr>
          <w:rStyle w:val="4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bifurcation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anatomy, represent one of the most challenging scenarios in interventional cardiology, often leading to higher rates of stenting complications. The combination of these factors, known as </w:t>
      </w:r>
      <w:r>
        <w:rPr>
          <w:rStyle w:val="4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calcified coronary bifurcation lesions (CBL)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, poses severe risks to procedural success, including stent underexpansion, side branch closure, and high rates of target lesion revascularization (TLR). 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Beyond the Culprit Lesions: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Management of Non-Culprit Vessels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In patients presenting with acute coronary syndrome (ACS) and multivessel coronary artery disease, </w:t>
      </w:r>
      <w:r>
        <w:rPr>
          <w:rStyle w:val="4"/>
          <w:rFonts w:hint="default" w:ascii="Times New Roman" w:hAnsi="Times New Roman" w:eastAsia="SimSun" w:cs="Times New Roman"/>
          <w:b/>
          <w:color w:val="auto"/>
          <w:sz w:val="24"/>
          <w:szCs w:val="24"/>
          <w:u w:val="none"/>
        </w:rPr>
        <w:t>complete revascularization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of non-culprit vessels significantly reduces the risk of cardiovascular death and recurrent myocardial infarction compared to a culprit-lesion-only strategy. Managing these non-culprit lesions requires careful consideration of patient stability, lesion complexity, physiological significance, and optimal procedural timing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The Art of "Good Enough”: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knowing when to stop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 xml:space="preserve">The art of "good enough" is knowing when to stop,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shifting from toxic perfectionism to "optimal stopping" to enhance productivity and well-being. It involves setting objective criteria, such as KPIs or project goals, before starting, rather than relying on subjective feelings. It is about trusting your work, embracing imperfection as a form of self-care, and understanding that "perfect" is often the enemy of progress</w:t>
      </w:r>
    </w:p>
    <w:p>
      <w:pPr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rPr>
          <w:rFonts w:hint="eastAsia" w:ascii="Times New Roman" w:hAnsi="Times New Roman" w:eastAsia="新細明體" w:cs="Times New Roman"/>
          <w:color w:val="auto"/>
          <w:sz w:val="24"/>
          <w:szCs w:val="24"/>
          <w:lang w:eastAsia="zh-TW"/>
        </w:rPr>
      </w:pPr>
      <w:bookmarkStart w:id="0" w:name="_GoBack"/>
      <w:r>
        <w:rPr>
          <w:rFonts w:hint="eastAsia" w:ascii="Times New Roman" w:hAnsi="Times New Roman" w:eastAsia="新細明體" w:cs="Times New Roman"/>
          <w:color w:val="auto"/>
          <w:sz w:val="24"/>
          <w:szCs w:val="24"/>
          <w:lang w:eastAsia="zh-TW"/>
        </w:rPr>
        <w:drawing>
          <wp:inline distT="0" distB="0" distL="114300" distR="114300">
            <wp:extent cx="5265420" cy="4751705"/>
            <wp:effectExtent l="0" t="0" r="11430" b="10795"/>
            <wp:docPr id="1" name="圖片 1" descr="0704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704-Fin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TC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Noto Serif TC ExtraLight">
    <w:panose1 w:val="02020200000000000000"/>
    <w:charset w:val="88"/>
    <w:family w:val="auto"/>
    <w:pitch w:val="default"/>
    <w:sig w:usb0="20000083" w:usb1="2ADF3C10" w:usb2="00000016" w:usb3="00000000" w:csb0="6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34A40"/>
    <w:rsid w:val="0A977DAE"/>
    <w:rsid w:val="14644040"/>
    <w:rsid w:val="28734A40"/>
    <w:rsid w:val="4E5C5142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  <w:style w:type="character" w:styleId="4">
    <w:name w:val="Strong"/>
    <w:qFormat/>
    <w:uiPriority w:val="0"/>
    <w:rPr>
      <w:b/>
    </w:rPr>
  </w:style>
  <w:style w:type="table" w:styleId="6">
    <w:name w:val="Table Grid"/>
    <w:basedOn w:val="5"/>
    <w:uiPriority w:val="0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TW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2026-05-14T07:52:00Z</dcterms:created>
  <dc:creator>User</dc:creator>
  <cp:lastModifiedBy>User</cp:lastModifiedBy>
  <dcterms:modified xsi:type="dcterms:W3CDTF">2026-05-20T10:14:11Z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